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3"/>
        <w:ind w:left="100"/>
      </w:pPr>
      <w:r>
        <w:rPr>
          <w:color w:val="343744"/>
          <w:spacing w:val="-4"/>
          <w:w w:val="105"/>
        </w:rPr>
        <w:t>Date</w:t>
      </w:r>
    </w:p>
    <w:p>
      <w:pPr>
        <w:pStyle w:val="BodyText"/>
        <w:spacing w:before="1"/>
        <w:rPr>
          <w:sz w:val="3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343744"/>
          <w:spacing w:val="-2"/>
          <w:w w:val="110"/>
          <w:sz w:val="22"/>
        </w:rPr>
        <w:t>Senator/Congressmember</w:t>
      </w:r>
    </w:p>
    <w:p>
      <w:pPr>
        <w:pStyle w:val="BodyText"/>
        <w:spacing w:before="41"/>
        <w:ind w:left="100" w:right="5766"/>
      </w:pPr>
      <w:r>
        <w:rPr>
          <w:color w:val="343744"/>
          <w:w w:val="105"/>
        </w:rPr>
        <w:t>The Honorable [Elected Oﬃcial] 123 Address St</w:t>
      </w:r>
    </w:p>
    <w:p>
      <w:pPr>
        <w:pStyle w:val="BodyText"/>
        <w:spacing w:before="3"/>
        <w:ind w:left="100"/>
      </w:pPr>
      <w:r>
        <w:rPr>
          <w:color w:val="343744"/>
          <w:w w:val="105"/>
        </w:rPr>
        <w:t>Anytown,</w:t>
      </w:r>
      <w:r>
        <w:rPr>
          <w:color w:val="343744"/>
          <w:spacing w:val="10"/>
          <w:w w:val="105"/>
        </w:rPr>
        <w:t> </w:t>
      </w:r>
      <w:r>
        <w:rPr>
          <w:color w:val="343744"/>
          <w:w w:val="105"/>
        </w:rPr>
        <w:t>ST</w:t>
      </w:r>
      <w:r>
        <w:rPr>
          <w:color w:val="343744"/>
          <w:spacing w:val="11"/>
          <w:w w:val="105"/>
        </w:rPr>
        <w:t> </w:t>
      </w:r>
      <w:r>
        <w:rPr>
          <w:color w:val="343744"/>
          <w:spacing w:val="-4"/>
          <w:w w:val="105"/>
        </w:rPr>
        <w:t>12345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100"/>
      </w:pPr>
      <w:r>
        <w:rPr>
          <w:color w:val="343744"/>
          <w:w w:val="105"/>
        </w:rPr>
        <w:t>Dear</w:t>
      </w:r>
      <w:r>
        <w:rPr>
          <w:color w:val="343744"/>
          <w:spacing w:val="12"/>
          <w:w w:val="105"/>
        </w:rPr>
        <w:t> </w:t>
      </w:r>
      <w:r>
        <w:rPr>
          <w:color w:val="343744"/>
          <w:w w:val="105"/>
        </w:rPr>
        <w:t>[Elected</w:t>
      </w:r>
      <w:r>
        <w:rPr>
          <w:color w:val="343744"/>
          <w:spacing w:val="12"/>
          <w:w w:val="105"/>
        </w:rPr>
        <w:t> </w:t>
      </w:r>
      <w:r>
        <w:rPr>
          <w:color w:val="343744"/>
          <w:spacing w:val="-2"/>
          <w:w w:val="105"/>
        </w:rPr>
        <w:t>Oﬃcial],</w:t>
      </w:r>
    </w:p>
    <w:p>
      <w:pPr>
        <w:pStyle w:val="BodyText"/>
        <w:rPr>
          <w:sz w:val="23"/>
        </w:rPr>
      </w:pPr>
    </w:p>
    <w:p>
      <w:pPr>
        <w:pStyle w:val="BodyText"/>
        <w:spacing w:line="280" w:lineRule="auto"/>
        <w:ind w:left="100" w:right="1538"/>
      </w:pPr>
      <w:r>
        <w:rPr>
          <w:color w:val="343744"/>
          <w:w w:val="105"/>
          <w:u w:val="thick" w:color="343744"/>
        </w:rPr>
        <w:t>RE: Social Security Administration’s unreasonable backlogs and delays at each</w:t>
      </w:r>
      <w:r>
        <w:rPr>
          <w:color w:val="343744"/>
          <w:w w:val="105"/>
        </w:rPr>
        <w:t> </w:t>
      </w:r>
      <w:r>
        <w:rPr>
          <w:color w:val="343744"/>
          <w:w w:val="105"/>
          <w:u w:val="thick" w:color="343744"/>
        </w:rPr>
        <w:t>level in the social security disability claims process.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0" w:lineRule="auto"/>
        <w:ind w:left="100" w:right="1538"/>
      </w:pPr>
      <w:r>
        <w:rPr>
          <w:color w:val="343744"/>
        </w:rPr>
        <w:t>I</w:t>
      </w:r>
      <w:r>
        <w:rPr>
          <w:color w:val="343744"/>
          <w:spacing w:val="37"/>
        </w:rPr>
        <w:t> </w:t>
      </w:r>
      <w:r>
        <w:rPr>
          <w:color w:val="343744"/>
        </w:rPr>
        <w:t>am</w:t>
      </w:r>
      <w:r>
        <w:rPr>
          <w:color w:val="343744"/>
          <w:spacing w:val="37"/>
        </w:rPr>
        <w:t> </w:t>
      </w:r>
      <w:r>
        <w:rPr>
          <w:color w:val="343744"/>
        </w:rPr>
        <w:t>signiﬁcantly</w:t>
      </w:r>
      <w:r>
        <w:rPr>
          <w:color w:val="343744"/>
          <w:spacing w:val="37"/>
        </w:rPr>
        <w:t> </w:t>
      </w:r>
      <w:r>
        <w:rPr>
          <w:color w:val="343744"/>
        </w:rPr>
        <w:t>disabled</w:t>
      </w:r>
      <w:r>
        <w:rPr>
          <w:color w:val="343744"/>
          <w:spacing w:val="37"/>
        </w:rPr>
        <w:t> </w:t>
      </w:r>
      <w:r>
        <w:rPr>
          <w:color w:val="343744"/>
        </w:rPr>
        <w:t>and</w:t>
      </w:r>
      <w:r>
        <w:rPr>
          <w:color w:val="343744"/>
          <w:spacing w:val="37"/>
        </w:rPr>
        <w:t> </w:t>
      </w:r>
      <w:r>
        <w:rPr>
          <w:color w:val="343744"/>
        </w:rPr>
        <w:t>have</w:t>
      </w:r>
      <w:r>
        <w:rPr>
          <w:color w:val="343744"/>
          <w:spacing w:val="37"/>
        </w:rPr>
        <w:t> </w:t>
      </w:r>
      <w:r>
        <w:rPr>
          <w:color w:val="343744"/>
        </w:rPr>
        <w:t>paid</w:t>
      </w:r>
      <w:r>
        <w:rPr>
          <w:color w:val="343744"/>
          <w:spacing w:val="37"/>
        </w:rPr>
        <w:t> </w:t>
      </w:r>
      <w:r>
        <w:rPr>
          <w:color w:val="343744"/>
        </w:rPr>
        <w:t>my</w:t>
      </w:r>
      <w:r>
        <w:rPr>
          <w:color w:val="343744"/>
          <w:spacing w:val="37"/>
        </w:rPr>
        <w:t> </w:t>
      </w:r>
      <w:r>
        <w:rPr>
          <w:color w:val="343744"/>
        </w:rPr>
        <w:t>federal</w:t>
      </w:r>
      <w:r>
        <w:rPr>
          <w:color w:val="343744"/>
          <w:spacing w:val="37"/>
        </w:rPr>
        <w:t> </w:t>
      </w:r>
      <w:r>
        <w:rPr>
          <w:color w:val="343744"/>
        </w:rPr>
        <w:t>taxes</w:t>
      </w:r>
      <w:r>
        <w:rPr>
          <w:color w:val="343744"/>
          <w:spacing w:val="37"/>
        </w:rPr>
        <w:t> </w:t>
      </w:r>
      <w:r>
        <w:rPr>
          <w:color w:val="343744"/>
        </w:rPr>
        <w:t>into</w:t>
      </w:r>
      <w:r>
        <w:rPr>
          <w:color w:val="343744"/>
          <w:spacing w:val="37"/>
        </w:rPr>
        <w:t> </w:t>
      </w:r>
      <w:r>
        <w:rPr>
          <w:color w:val="343744"/>
        </w:rPr>
        <w:t>the</w:t>
      </w:r>
      <w:r>
        <w:rPr>
          <w:color w:val="343744"/>
          <w:spacing w:val="37"/>
        </w:rPr>
        <w:t> </w:t>
      </w:r>
      <w:r>
        <w:rPr>
          <w:color w:val="343744"/>
        </w:rPr>
        <w:t>system</w:t>
      </w:r>
      <w:r>
        <w:rPr>
          <w:color w:val="343744"/>
          <w:spacing w:val="37"/>
        </w:rPr>
        <w:t> </w:t>
      </w:r>
      <w:r>
        <w:rPr>
          <w:color w:val="343744"/>
        </w:rPr>
        <w:t>for many</w:t>
      </w:r>
      <w:r>
        <w:rPr>
          <w:color w:val="343744"/>
          <w:spacing w:val="40"/>
        </w:rPr>
        <w:t> </w:t>
      </w:r>
      <w:r>
        <w:rPr>
          <w:color w:val="343744"/>
        </w:rPr>
        <w:t>years.</w:t>
      </w:r>
      <w:r>
        <w:rPr>
          <w:color w:val="343744"/>
          <w:spacing w:val="80"/>
        </w:rPr>
        <w:t> </w:t>
      </w:r>
      <w:r>
        <w:rPr>
          <w:color w:val="343744"/>
        </w:rPr>
        <w:t>However,</w:t>
      </w:r>
      <w:r>
        <w:rPr>
          <w:color w:val="343744"/>
          <w:spacing w:val="40"/>
        </w:rPr>
        <w:t> </w:t>
      </w:r>
      <w:r>
        <w:rPr>
          <w:color w:val="343744"/>
        </w:rPr>
        <w:t>recently</w:t>
      </w:r>
      <w:r>
        <w:rPr>
          <w:color w:val="343744"/>
          <w:spacing w:val="40"/>
        </w:rPr>
        <w:t> </w:t>
      </w:r>
      <w:r>
        <w:rPr>
          <w:color w:val="343744"/>
        </w:rPr>
        <w:t>there</w:t>
      </w:r>
      <w:r>
        <w:rPr>
          <w:color w:val="343744"/>
          <w:spacing w:val="40"/>
        </w:rPr>
        <w:t> </w:t>
      </w:r>
      <w:r>
        <w:rPr>
          <w:color w:val="343744"/>
        </w:rPr>
        <w:t>have</w:t>
      </w:r>
      <w:r>
        <w:rPr>
          <w:color w:val="343744"/>
          <w:spacing w:val="40"/>
        </w:rPr>
        <w:t> </w:t>
      </w:r>
      <w:r>
        <w:rPr>
          <w:color w:val="343744"/>
        </w:rPr>
        <w:t>been</w:t>
      </w:r>
      <w:r>
        <w:rPr>
          <w:color w:val="343744"/>
          <w:spacing w:val="80"/>
        </w:rPr>
        <w:t> </w:t>
      </w:r>
      <w:r>
        <w:rPr>
          <w:color w:val="343744"/>
        </w:rPr>
        <w:t>unreasonable</w:t>
      </w:r>
      <w:r>
        <w:rPr>
          <w:color w:val="343744"/>
          <w:spacing w:val="40"/>
        </w:rPr>
        <w:t> </w:t>
      </w:r>
      <w:r>
        <w:rPr>
          <w:color w:val="343744"/>
        </w:rPr>
        <w:t>delays</w:t>
      </w:r>
      <w:r>
        <w:rPr>
          <w:color w:val="343744"/>
          <w:spacing w:val="40"/>
        </w:rPr>
        <w:t> </w:t>
      </w:r>
      <w:r>
        <w:rPr>
          <w:color w:val="343744"/>
        </w:rPr>
        <w:t>in</w:t>
      </w:r>
      <w:r>
        <w:rPr>
          <w:color w:val="343744"/>
          <w:spacing w:val="40"/>
        </w:rPr>
        <w:t> </w:t>
      </w:r>
      <w:r>
        <w:rPr>
          <w:color w:val="343744"/>
        </w:rPr>
        <w:t>the processing</w:t>
      </w:r>
      <w:r>
        <w:rPr>
          <w:color w:val="343744"/>
          <w:spacing w:val="40"/>
        </w:rPr>
        <w:t> </w:t>
      </w:r>
      <w:r>
        <w:rPr>
          <w:color w:val="343744"/>
        </w:rPr>
        <w:t>of</w:t>
      </w:r>
      <w:r>
        <w:rPr>
          <w:color w:val="343744"/>
          <w:spacing w:val="40"/>
        </w:rPr>
        <w:t> </w:t>
      </w:r>
      <w:r>
        <w:rPr>
          <w:color w:val="343744"/>
        </w:rPr>
        <w:t>all</w:t>
      </w:r>
      <w:r>
        <w:rPr>
          <w:color w:val="343744"/>
          <w:spacing w:val="40"/>
        </w:rPr>
        <w:t> </w:t>
      </w:r>
      <w:r>
        <w:rPr>
          <w:color w:val="343744"/>
        </w:rPr>
        <w:t>claims</w:t>
      </w:r>
      <w:r>
        <w:rPr>
          <w:color w:val="343744"/>
          <w:spacing w:val="40"/>
        </w:rPr>
        <w:t> </w:t>
      </w:r>
      <w:r>
        <w:rPr>
          <w:color w:val="343744"/>
        </w:rPr>
        <w:t>by</w:t>
      </w:r>
      <w:r>
        <w:rPr>
          <w:color w:val="343744"/>
          <w:spacing w:val="40"/>
        </w:rPr>
        <w:t> </w:t>
      </w:r>
      <w:r>
        <w:rPr>
          <w:color w:val="343744"/>
        </w:rPr>
        <w:t>the</w:t>
      </w:r>
      <w:r>
        <w:rPr>
          <w:color w:val="343744"/>
          <w:spacing w:val="40"/>
        </w:rPr>
        <w:t> </w:t>
      </w:r>
      <w:r>
        <w:rPr>
          <w:color w:val="343744"/>
        </w:rPr>
        <w:t>social</w:t>
      </w:r>
      <w:r>
        <w:rPr>
          <w:color w:val="343744"/>
          <w:spacing w:val="40"/>
        </w:rPr>
        <w:t> </w:t>
      </w:r>
      <w:r>
        <w:rPr>
          <w:color w:val="343744"/>
        </w:rPr>
        <w:t>security</w:t>
      </w:r>
      <w:r>
        <w:rPr>
          <w:color w:val="343744"/>
          <w:spacing w:val="40"/>
        </w:rPr>
        <w:t> </w:t>
      </w:r>
      <w:r>
        <w:rPr>
          <w:color w:val="343744"/>
        </w:rPr>
        <w:t>administration.</w:t>
      </w:r>
      <w:r>
        <w:rPr>
          <w:color w:val="343744"/>
          <w:spacing w:val="80"/>
        </w:rPr>
        <w:t> </w:t>
      </w:r>
      <w:r>
        <w:rPr>
          <w:color w:val="343744"/>
        </w:rPr>
        <w:t>I</w:t>
      </w:r>
      <w:r>
        <w:rPr>
          <w:color w:val="343744"/>
          <w:spacing w:val="40"/>
        </w:rPr>
        <w:t> </w:t>
      </w:r>
      <w:r>
        <w:rPr>
          <w:color w:val="343744"/>
        </w:rPr>
        <w:t>have</w:t>
      </w:r>
      <w:r>
        <w:rPr>
          <w:color w:val="343744"/>
          <w:spacing w:val="40"/>
        </w:rPr>
        <w:t> </w:t>
      </w:r>
      <w:r>
        <w:rPr>
          <w:color w:val="343744"/>
        </w:rPr>
        <w:t>enclosed below</w:t>
      </w:r>
      <w:r>
        <w:rPr>
          <w:color w:val="343744"/>
          <w:spacing w:val="40"/>
        </w:rPr>
        <w:t> </w:t>
      </w:r>
      <w:r>
        <w:rPr>
          <w:color w:val="343744"/>
        </w:rPr>
        <w:t>a</w:t>
      </w:r>
      <w:r>
        <w:rPr>
          <w:color w:val="343744"/>
          <w:spacing w:val="40"/>
        </w:rPr>
        <w:t> </w:t>
      </w:r>
      <w:r>
        <w:rPr>
          <w:color w:val="343744"/>
        </w:rPr>
        <w:t>chart</w:t>
      </w:r>
      <w:r>
        <w:rPr>
          <w:color w:val="343744"/>
          <w:spacing w:val="40"/>
        </w:rPr>
        <w:t> </w:t>
      </w:r>
      <w:r>
        <w:rPr>
          <w:color w:val="343744"/>
        </w:rPr>
        <w:t>showing</w:t>
      </w:r>
      <w:r>
        <w:rPr>
          <w:color w:val="343744"/>
          <w:spacing w:val="40"/>
        </w:rPr>
        <w:t> </w:t>
      </w:r>
      <w:r>
        <w:rPr>
          <w:color w:val="343744"/>
        </w:rPr>
        <w:t>the</w:t>
      </w:r>
      <w:r>
        <w:rPr>
          <w:color w:val="343744"/>
          <w:spacing w:val="40"/>
        </w:rPr>
        <w:t> </w:t>
      </w:r>
      <w:r>
        <w:rPr>
          <w:color w:val="343744"/>
        </w:rPr>
        <w:t>delays</w:t>
      </w:r>
      <w:r>
        <w:rPr>
          <w:color w:val="343744"/>
          <w:spacing w:val="40"/>
        </w:rPr>
        <w:t> </w:t>
      </w:r>
      <w:r>
        <w:rPr>
          <w:color w:val="343744"/>
        </w:rPr>
        <w:t>after</w:t>
      </w:r>
      <w:r>
        <w:rPr>
          <w:color w:val="343744"/>
          <w:spacing w:val="40"/>
        </w:rPr>
        <w:t> </w:t>
      </w:r>
      <w:r>
        <w:rPr>
          <w:color w:val="343744"/>
        </w:rPr>
        <w:t>comparing</w:t>
      </w:r>
      <w:r>
        <w:rPr>
          <w:color w:val="343744"/>
          <w:spacing w:val="40"/>
        </w:rPr>
        <w:t> </w:t>
      </w:r>
      <w:r>
        <w:rPr>
          <w:color w:val="343744"/>
        </w:rPr>
        <w:t>“before</w:t>
      </w:r>
      <w:r>
        <w:rPr>
          <w:color w:val="343744"/>
          <w:spacing w:val="40"/>
        </w:rPr>
        <w:t> </w:t>
      </w:r>
      <w:r>
        <w:rPr>
          <w:color w:val="343744"/>
        </w:rPr>
        <w:t>2022”</w:t>
      </w:r>
      <w:r>
        <w:rPr>
          <w:color w:val="343744"/>
          <w:spacing w:val="40"/>
        </w:rPr>
        <w:t> </w:t>
      </w:r>
      <w:r>
        <w:rPr>
          <w:color w:val="343744"/>
        </w:rPr>
        <w:t>with</w:t>
      </w:r>
      <w:r>
        <w:rPr>
          <w:color w:val="343744"/>
          <w:spacing w:val="40"/>
        </w:rPr>
        <w:t> </w:t>
      </w:r>
      <w:r>
        <w:rPr>
          <w:color w:val="343744"/>
        </w:rPr>
        <w:t>“in </w:t>
      </w:r>
      <w:r>
        <w:rPr>
          <w:color w:val="343744"/>
          <w:spacing w:val="-2"/>
        </w:rPr>
        <w:t>2022”.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3780"/>
      </w:tblGrid>
      <w:tr>
        <w:trPr>
          <w:trHeight w:val="650" w:hRule="atLeast"/>
        </w:trPr>
        <w:tc>
          <w:tcPr>
            <w:tcW w:w="3780" w:type="dxa"/>
          </w:tcPr>
          <w:p>
            <w:pPr>
              <w:pStyle w:val="TableParagraph"/>
              <w:ind w:left="1281" w:right="12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Before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2022</w:t>
            </w:r>
          </w:p>
        </w:tc>
        <w:tc>
          <w:tcPr>
            <w:tcW w:w="3780" w:type="dxa"/>
          </w:tcPr>
          <w:p>
            <w:pPr>
              <w:pStyle w:val="TableParagraph"/>
              <w:ind w:left="1281" w:right="12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2022</w:t>
            </w:r>
          </w:p>
        </w:tc>
      </w:tr>
      <w:tr>
        <w:trPr>
          <w:trHeight w:val="1470" w:hRule="atLeast"/>
        </w:trPr>
        <w:tc>
          <w:tcPr>
            <w:tcW w:w="3780" w:type="dxa"/>
          </w:tcPr>
          <w:p>
            <w:pPr>
              <w:pStyle w:val="TableParagraph"/>
              <w:spacing w:line="268" w:lineRule="auto" w:before="111"/>
              <w:rPr>
                <w:sz w:val="22"/>
              </w:rPr>
            </w:pPr>
            <w:r>
              <w:rPr>
                <w:w w:val="105"/>
                <w:sz w:val="22"/>
              </w:rPr>
              <w:t>Initial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1-4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months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receive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decision after the date the application was submitted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auto" w:before="111"/>
              <w:rPr>
                <w:sz w:val="22"/>
              </w:rPr>
            </w:pPr>
            <w:r>
              <w:rPr>
                <w:w w:val="105"/>
                <w:sz w:val="22"/>
              </w:rPr>
              <w:t>Initial Level: 8 months from ﬁling date to get a representative assigned &amp; another 4-6 months to receive a decision</w:t>
            </w:r>
          </w:p>
        </w:tc>
      </w:tr>
      <w:tr>
        <w:trPr>
          <w:trHeight w:val="1569" w:hRule="atLeast"/>
        </w:trPr>
        <w:tc>
          <w:tcPr>
            <w:tcW w:w="3780" w:type="dxa"/>
          </w:tcPr>
          <w:p>
            <w:pPr>
              <w:pStyle w:val="TableParagraph"/>
              <w:spacing w:line="268" w:lineRule="auto" w:before="96"/>
              <w:ind w:right="144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Reconsideration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1-4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months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receive a decision after the date the application was submitted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auto" w:before="96"/>
              <w:ind w:right="342"/>
              <w:rPr>
                <w:sz w:val="22"/>
              </w:rPr>
            </w:pPr>
            <w:r>
              <w:rPr>
                <w:w w:val="105"/>
                <w:sz w:val="22"/>
              </w:rPr>
              <w:t>Reconsideration Level: 8 months from ﬁling date to get a representative assigned &amp; another 4-6 months to receive a decision</w:t>
            </w:r>
          </w:p>
        </w:tc>
      </w:tr>
      <w:tr>
        <w:trPr>
          <w:trHeight w:val="1090" w:hRule="atLeast"/>
        </w:trPr>
        <w:tc>
          <w:tcPr>
            <w:tcW w:w="3780" w:type="dxa"/>
          </w:tcPr>
          <w:p>
            <w:pPr>
              <w:pStyle w:val="TableParagraph"/>
              <w:spacing w:line="268" w:lineRule="auto"/>
              <w:ind w:right="0"/>
              <w:rPr>
                <w:sz w:val="22"/>
              </w:rPr>
            </w:pPr>
            <w:r>
              <w:rPr>
                <w:w w:val="105"/>
                <w:sz w:val="22"/>
              </w:rPr>
              <w:t>Hearing Level: 8-</w:t>
            </w:r>
            <w:r>
              <w:rPr>
                <w:sz w:val="22"/>
              </w:rPr>
              <w:t>11 </w:t>
            </w:r>
            <w:r>
              <w:rPr>
                <w:w w:val="105"/>
                <w:sz w:val="22"/>
              </w:rPr>
              <w:t>months waiting period for a hearing from the date a hearing was requested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auto"/>
              <w:ind w:right="2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Hearing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Level: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12-18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months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waiting period for a hearing from the date a hearing was requested</w:t>
            </w:r>
          </w:p>
        </w:tc>
      </w:tr>
      <w:tr>
        <w:trPr>
          <w:trHeight w:val="1089" w:hRule="atLeast"/>
        </w:trPr>
        <w:tc>
          <w:tcPr>
            <w:tcW w:w="3780" w:type="dxa"/>
          </w:tcPr>
          <w:p>
            <w:pPr>
              <w:pStyle w:val="TableParagraph"/>
              <w:spacing w:line="268" w:lineRule="auto" w:before="106"/>
              <w:ind w:right="73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Appeals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Council: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12-15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months before a claimant’s decision is </w:t>
            </w:r>
            <w:r>
              <w:rPr>
                <w:spacing w:val="-2"/>
                <w:w w:val="105"/>
                <w:sz w:val="22"/>
              </w:rPr>
              <w:t>released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auto" w:before="106"/>
              <w:rPr>
                <w:sz w:val="22"/>
              </w:rPr>
            </w:pPr>
            <w:r>
              <w:rPr>
                <w:w w:val="105"/>
                <w:sz w:val="22"/>
              </w:rPr>
              <w:t>Appeals Council: 15-24 months before a claimant’s decision is </w:t>
            </w:r>
            <w:r>
              <w:rPr>
                <w:spacing w:val="-2"/>
                <w:w w:val="105"/>
                <w:sz w:val="22"/>
              </w:rPr>
              <w:t>released</w:t>
            </w:r>
          </w:p>
        </w:tc>
      </w:tr>
      <w:tr>
        <w:trPr>
          <w:trHeight w:val="810" w:hRule="atLeast"/>
        </w:trPr>
        <w:tc>
          <w:tcPr>
            <w:tcW w:w="3780" w:type="dxa"/>
          </w:tcPr>
          <w:p>
            <w:pPr>
              <w:pStyle w:val="TableParagraph"/>
              <w:spacing w:line="268" w:lineRule="auto" w:before="111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Court: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12-16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months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claimant’s decision to be made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auto" w:before="111"/>
              <w:rPr>
                <w:sz w:val="22"/>
              </w:rPr>
            </w:pPr>
            <w:r>
              <w:rPr>
                <w:w w:val="105"/>
                <w:sz w:val="22"/>
              </w:rPr>
              <w:t>Federal Court: 1-2 years for a claimant’s decision to be made</w:t>
            </w:r>
          </w:p>
        </w:tc>
      </w:tr>
    </w:tbl>
    <w:p>
      <w:pPr>
        <w:spacing w:after="0" w:line="268" w:lineRule="auto"/>
        <w:rPr>
          <w:sz w:val="22"/>
        </w:rPr>
        <w:sectPr>
          <w:headerReference w:type="default" r:id="rId5"/>
          <w:type w:val="continuous"/>
          <w:pgSz w:w="12240" w:h="15840"/>
          <w:pgMar w:header="916" w:footer="0" w:top="1460" w:bottom="280" w:left="1340" w:right="1720"/>
          <w:pgNumType w:start="1"/>
        </w:sectPr>
      </w:pPr>
    </w:p>
    <w:p>
      <w:pPr>
        <w:pStyle w:val="BodyText"/>
        <w:spacing w:line="280" w:lineRule="auto" w:before="83"/>
        <w:ind w:left="100" w:right="1538"/>
      </w:pPr>
      <w:r>
        <w:rPr>
          <w:color w:val="343744"/>
          <w:w w:val="105"/>
        </w:rPr>
        <w:t>Please do all you can to increase staﬀ and reduce the inordinate delays in the Social Security Administration.</w:t>
      </w:r>
      <w:r>
        <w:rPr>
          <w:color w:val="343744"/>
          <w:spacing w:val="80"/>
          <w:w w:val="105"/>
        </w:rPr>
        <w:t> </w:t>
      </w:r>
      <w:r>
        <w:rPr>
          <w:color w:val="343744"/>
          <w:w w:val="105"/>
        </w:rPr>
        <w:t>This causes not only an unfair ﬁnancial burden on me but a decline in my health and lack of access to good medical treatment that comes with approval of social security disability awards.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100"/>
      </w:pPr>
      <w:r>
        <w:rPr>
          <w:color w:val="343744"/>
          <w:spacing w:val="-2"/>
          <w:w w:val="105"/>
        </w:rPr>
        <w:t>Sincerely,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5"/>
        </w:rPr>
      </w:pPr>
    </w:p>
    <w:p>
      <w:pPr>
        <w:spacing w:line="456" w:lineRule="auto" w:before="0"/>
        <w:ind w:left="100" w:right="7978" w:firstLine="0"/>
        <w:jc w:val="left"/>
        <w:rPr>
          <w:b/>
          <w:sz w:val="22"/>
        </w:rPr>
      </w:pPr>
      <w:r>
        <w:rPr>
          <w:b/>
          <w:color w:val="00AB44"/>
          <w:spacing w:val="-4"/>
          <w:w w:val="110"/>
          <w:sz w:val="22"/>
        </w:rPr>
        <w:t>Your</w:t>
      </w:r>
      <w:r>
        <w:rPr>
          <w:b/>
          <w:color w:val="00AB44"/>
          <w:spacing w:val="-10"/>
          <w:w w:val="110"/>
          <w:sz w:val="22"/>
        </w:rPr>
        <w:t> </w:t>
      </w:r>
      <w:r>
        <w:rPr>
          <w:b/>
          <w:color w:val="00AB44"/>
          <w:spacing w:val="-4"/>
          <w:w w:val="110"/>
          <w:sz w:val="22"/>
        </w:rPr>
        <w:t>Name </w:t>
      </w:r>
      <w:r>
        <w:rPr>
          <w:b/>
          <w:color w:val="00AB44"/>
          <w:spacing w:val="-2"/>
          <w:w w:val="110"/>
          <w:sz w:val="22"/>
        </w:rPr>
        <w:t>Address Email</w:t>
      </w:r>
    </w:p>
    <w:sectPr>
      <w:pgSz w:w="12240" w:h="15840"/>
      <w:pgMar w:header="916" w:footer="0" w:top="14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933450</wp:posOffset>
          </wp:positionH>
          <wp:positionV relativeFrom="page">
            <wp:posOffset>642111</wp:posOffset>
          </wp:positionV>
          <wp:extent cx="5943599" cy="666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89" w:right="24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terms:created xsi:type="dcterms:W3CDTF">2022-07-26T15:00:30Z</dcterms:created>
  <dcterms:modified xsi:type="dcterms:W3CDTF">2022-07-26T15:00:30Z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m105 Google Docs Renderer</vt:lpwstr>
  </property>
</Properties>
</file>